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6578950" r:id="rId9"/>
              </w:object>
            </w:r>
            <w:r w:rsidR="00C05DEA" w:rsidRPr="00C05DEA">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C05DEA" w:rsidRPr="00C05DEA">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C05DEA" w:rsidRPr="00C05DEA">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C05DEA" w:rsidRPr="00C05DEA">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C05DEA" w:rsidRPr="00C05DEA">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C05DEA" w:rsidRPr="00C05DEA">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187559" w:rsidRDefault="00777EE4" w:rsidP="00CE257E">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bookmarkEnd w:id="0"/>
            <w:r w:rsidR="00E67598" w:rsidRPr="00B74119">
              <w:rPr>
                <w:sz w:val="18"/>
                <w:szCs w:val="18"/>
                <w:lang w:val="en-US"/>
              </w:rPr>
              <w:t>18</w:t>
            </w:r>
            <w:r w:rsidR="00E84C3C">
              <w:rPr>
                <w:sz w:val="18"/>
                <w:szCs w:val="18"/>
                <w:lang w:val="en-US"/>
              </w:rPr>
              <w:t>.0</w:t>
            </w:r>
            <w:r w:rsidR="00CE257E" w:rsidRPr="00187559">
              <w:rPr>
                <w:sz w:val="18"/>
                <w:szCs w:val="18"/>
                <w:lang w:val="en-US"/>
              </w:rPr>
              <w:t>9</w:t>
            </w:r>
            <w:r w:rsidR="00BD79DB">
              <w:rPr>
                <w:sz w:val="18"/>
                <w:szCs w:val="18"/>
                <w:lang w:val="en-US"/>
              </w:rPr>
              <w:t>.2023</w:t>
            </w:r>
            <w:r w:rsidR="00BD79DB" w:rsidRPr="00C963E8">
              <w:rPr>
                <w:sz w:val="18"/>
                <w:szCs w:val="18"/>
                <w:lang w:val="en-US"/>
              </w:rPr>
              <w:t xml:space="preserve"> </w:t>
            </w:r>
            <w:r w:rsidR="00D06DB5" w:rsidRPr="00BD79DB">
              <w:rPr>
                <w:sz w:val="18"/>
                <w:szCs w:val="18"/>
                <w:lang w:val="en-US"/>
              </w:rPr>
              <w:t xml:space="preserve">№ </w:t>
            </w:r>
            <w:r w:rsidR="00CE257E" w:rsidRPr="00187559">
              <w:rPr>
                <w:sz w:val="18"/>
                <w:szCs w:val="18"/>
                <w:lang w:val="en-US"/>
              </w:rPr>
              <w:t>04</w:t>
            </w:r>
          </w:p>
        </w:tc>
        <w:tc>
          <w:tcPr>
            <w:tcW w:w="720" w:type="dxa"/>
          </w:tcPr>
          <w:p w:rsidR="00B31BC9" w:rsidRPr="00BD79DB" w:rsidRDefault="00B31BC9" w:rsidP="00B31BC9">
            <w:pPr>
              <w:ind w:left="720" w:firstLine="540"/>
              <w:jc w:val="center"/>
              <w:rPr>
                <w:b/>
                <w:sz w:val="18"/>
                <w:szCs w:val="18"/>
                <w:lang w:val="en-US"/>
              </w:rPr>
            </w:pPr>
          </w:p>
          <w:p w:rsidR="00B31BC9" w:rsidRPr="00BD79DB" w:rsidRDefault="00B31BC9" w:rsidP="00B31BC9">
            <w:pPr>
              <w:ind w:left="720" w:firstLine="540"/>
              <w:jc w:val="center"/>
              <w:rPr>
                <w:sz w:val="18"/>
                <w:szCs w:val="18"/>
                <w:lang w:val="en-US"/>
              </w:rPr>
            </w:pPr>
          </w:p>
        </w:tc>
        <w:tc>
          <w:tcPr>
            <w:tcW w:w="4500" w:type="dxa"/>
          </w:tcPr>
          <w:p w:rsidR="00B31BC9" w:rsidRPr="00F13478" w:rsidRDefault="00B31BC9" w:rsidP="00B31BC9">
            <w:pPr>
              <w:ind w:left="-31"/>
              <w:rPr>
                <w:sz w:val="18"/>
                <w:szCs w:val="18"/>
                <w:lang w:val="en-US"/>
              </w:rPr>
            </w:pPr>
          </w:p>
          <w:p w:rsidR="00B31BC9" w:rsidRPr="00F13478" w:rsidRDefault="00B31BC9" w:rsidP="00B31BC9">
            <w:pPr>
              <w:ind w:left="-31"/>
              <w:rPr>
                <w:sz w:val="18"/>
                <w:szCs w:val="18"/>
                <w:lang w:val="en-US"/>
              </w:rPr>
            </w:pPr>
          </w:p>
          <w:p w:rsidR="00B31BC9" w:rsidRPr="00F13478" w:rsidRDefault="00B31BC9" w:rsidP="00B31BC9">
            <w:pPr>
              <w:pStyle w:val="a3"/>
              <w:spacing w:after="0"/>
              <w:rPr>
                <w:bCs/>
                <w:sz w:val="18"/>
                <w:szCs w:val="18"/>
                <w:lang w:val="en-US"/>
              </w:rPr>
            </w:pPr>
          </w:p>
          <w:p w:rsidR="00B31BC9" w:rsidRPr="00F13478" w:rsidRDefault="00B31BC9" w:rsidP="00B31BC9">
            <w:pPr>
              <w:ind w:left="-31"/>
              <w:jc w:val="center"/>
              <w:rPr>
                <w:sz w:val="22"/>
                <w:szCs w:val="22"/>
                <w:lang w:val="en-US"/>
              </w:rPr>
            </w:pPr>
          </w:p>
          <w:p w:rsidR="00D72005" w:rsidRPr="00F13478"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Default="00251608" w:rsidP="009A3EE0">
            <w:pPr>
              <w:overflowPunct w:val="0"/>
              <w:autoSpaceDE w:val="0"/>
              <w:autoSpaceDN w:val="0"/>
              <w:adjustRightInd w:val="0"/>
              <w:jc w:val="center"/>
              <w:textAlignment w:val="baseline"/>
              <w:rPr>
                <w:sz w:val="17"/>
                <w:szCs w:val="17"/>
              </w:rPr>
            </w:pPr>
            <w:r w:rsidRPr="006A23B7">
              <w:rPr>
                <w:sz w:val="17"/>
                <w:szCs w:val="17"/>
              </w:rPr>
              <w:t xml:space="preserve">Директору филиала АО « </w:t>
            </w:r>
            <w:r w:rsidR="003E5486">
              <w:rPr>
                <w:sz w:val="17"/>
                <w:szCs w:val="17"/>
              </w:rPr>
              <w:t>Концерн Росэнергоатом» - «КАЭС»</w:t>
            </w:r>
          </w:p>
          <w:p w:rsidR="00E67598" w:rsidRPr="00251608" w:rsidRDefault="00E67598" w:rsidP="009A3EE0">
            <w:pPr>
              <w:overflowPunct w:val="0"/>
              <w:autoSpaceDE w:val="0"/>
              <w:autoSpaceDN w:val="0"/>
              <w:adjustRightInd w:val="0"/>
              <w:jc w:val="center"/>
              <w:textAlignment w:val="baseline"/>
              <w:rPr>
                <w:bCs/>
                <w:sz w:val="17"/>
                <w:szCs w:val="17"/>
              </w:rPr>
            </w:pPr>
            <w:r w:rsidRPr="00E67598">
              <w:rPr>
                <w:bCs/>
                <w:sz w:val="17"/>
                <w:szCs w:val="17"/>
              </w:rPr>
              <w:t>Управление Федеральной почтовой связи</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F13478" w:rsidRDefault="005A1EF7" w:rsidP="00F13478">
      <w:pPr>
        <w:ind w:firstLine="709"/>
        <w:contextualSpacing/>
        <w:jc w:val="center"/>
        <w:rPr>
          <w:b/>
          <w:sz w:val="28"/>
          <w:szCs w:val="28"/>
        </w:rPr>
      </w:pPr>
      <w:r>
        <w:rPr>
          <w:b/>
          <w:sz w:val="28"/>
          <w:szCs w:val="28"/>
        </w:rPr>
        <w:t>ПРЕДУПРЕЖДЕНИЕ о НГЯ № 59</w:t>
      </w:r>
    </w:p>
    <w:p w:rsidR="00187559" w:rsidRPr="00F13478" w:rsidRDefault="00187559" w:rsidP="00F13478">
      <w:pPr>
        <w:ind w:firstLine="709"/>
        <w:contextualSpacing/>
        <w:jc w:val="center"/>
        <w:rPr>
          <w:b/>
          <w:sz w:val="28"/>
          <w:szCs w:val="28"/>
        </w:rPr>
      </w:pPr>
    </w:p>
    <w:p w:rsidR="005A1EF7" w:rsidRDefault="005A1EF7" w:rsidP="005A1EF7">
      <w:pPr>
        <w:ind w:firstLine="709"/>
        <w:contextualSpacing/>
        <w:jc w:val="both"/>
        <w:rPr>
          <w:b/>
          <w:sz w:val="28"/>
          <w:szCs w:val="28"/>
        </w:rPr>
      </w:pPr>
      <w:r w:rsidRPr="005A1EF7">
        <w:rPr>
          <w:b/>
          <w:sz w:val="28"/>
          <w:szCs w:val="28"/>
        </w:rPr>
        <w:t>В ночные и утренние часы 19 сентября в отдельных районах Тверской области</w:t>
      </w:r>
      <w:r>
        <w:rPr>
          <w:b/>
          <w:sz w:val="28"/>
          <w:szCs w:val="28"/>
        </w:rPr>
        <w:t xml:space="preserve"> </w:t>
      </w:r>
      <w:r w:rsidRPr="005A1EF7">
        <w:rPr>
          <w:b/>
          <w:sz w:val="28"/>
          <w:szCs w:val="28"/>
        </w:rPr>
        <w:t>ожидается туман с видимостью 300-800 м.</w:t>
      </w:r>
    </w:p>
    <w:p w:rsidR="005A1EF7" w:rsidRPr="005A1EF7" w:rsidRDefault="005A1EF7" w:rsidP="005A1EF7">
      <w:pPr>
        <w:ind w:firstLine="709"/>
        <w:contextualSpacing/>
        <w:jc w:val="both"/>
        <w:rPr>
          <w:b/>
          <w:sz w:val="28"/>
          <w:szCs w:val="28"/>
        </w:rPr>
      </w:pPr>
    </w:p>
    <w:p w:rsidR="00617DFB" w:rsidRPr="00E73E80" w:rsidRDefault="00617DFB" w:rsidP="00187559">
      <w:pPr>
        <w:ind w:firstLine="709"/>
        <w:contextualSpacing/>
        <w:jc w:val="both"/>
        <w:rPr>
          <w:b/>
          <w:sz w:val="28"/>
          <w:szCs w:val="28"/>
        </w:rPr>
      </w:pPr>
      <w:r w:rsidRPr="00E73E80">
        <w:rPr>
          <w:sz w:val="28"/>
          <w:szCs w:val="28"/>
        </w:rPr>
        <w:t>В связи с ухудшением погодных условий на территории районов области повышается 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lastRenderedPageBreak/>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E73E80"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 xml:space="preserve">М-11, в том числе осуществлять дорожную деятельность в </w:t>
      </w:r>
      <w:r w:rsidRPr="00E73E80">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E67598" w:rsidRDefault="00B4522C" w:rsidP="005A1EF7">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5A1EF7" w:rsidRPr="00E67598" w:rsidRDefault="005A1EF7" w:rsidP="005A1EF7">
      <w:pPr>
        <w:ind w:firstLine="709"/>
        <w:jc w:val="both"/>
        <w:rPr>
          <w:sz w:val="28"/>
          <w:szCs w:val="28"/>
        </w:rPr>
      </w:pPr>
    </w:p>
    <w:p w:rsidR="00C963E8" w:rsidRPr="005A1EF7" w:rsidRDefault="00690448" w:rsidP="005A1EF7">
      <w:pPr>
        <w:ind w:firstLine="709"/>
        <w:jc w:val="both"/>
        <w:rPr>
          <w:bCs/>
          <w:sz w:val="28"/>
          <w:szCs w:val="28"/>
        </w:rPr>
      </w:pPr>
      <w:r w:rsidRPr="00E73E80">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E67598">
        <w:rPr>
          <w:bCs/>
          <w:sz w:val="28"/>
          <w:szCs w:val="28"/>
        </w:rPr>
        <w:t>05</w:t>
      </w:r>
      <w:r w:rsidR="000C5D39" w:rsidRPr="00E73E80">
        <w:rPr>
          <w:bCs/>
          <w:sz w:val="28"/>
          <w:szCs w:val="28"/>
        </w:rPr>
        <w:t>:0</w:t>
      </w:r>
      <w:r w:rsidR="00936F0C" w:rsidRPr="00E73E80">
        <w:rPr>
          <w:bCs/>
          <w:sz w:val="28"/>
          <w:szCs w:val="28"/>
        </w:rPr>
        <w:t xml:space="preserve">0 </w:t>
      </w:r>
      <w:bookmarkStart w:id="1" w:name="_GoBack"/>
      <w:bookmarkEnd w:id="1"/>
      <w:r w:rsidR="00E67598">
        <w:rPr>
          <w:bCs/>
          <w:sz w:val="28"/>
          <w:szCs w:val="28"/>
        </w:rPr>
        <w:t>19</w:t>
      </w:r>
      <w:r w:rsidR="00CE257E">
        <w:rPr>
          <w:bCs/>
          <w:sz w:val="28"/>
          <w:szCs w:val="28"/>
        </w:rPr>
        <w:t>.09</w:t>
      </w:r>
      <w:r w:rsidR="00B25640" w:rsidRPr="00E73E80">
        <w:rPr>
          <w:bCs/>
          <w:sz w:val="28"/>
          <w:szCs w:val="28"/>
        </w:rPr>
        <w:t>.2023г</w:t>
      </w:r>
      <w:r w:rsidR="005513CD" w:rsidRPr="00E73E80">
        <w:rPr>
          <w:bCs/>
          <w:sz w:val="28"/>
          <w:szCs w:val="28"/>
        </w:rPr>
        <w:t>.</w:t>
      </w:r>
    </w:p>
    <w:p w:rsidR="005A1EF7" w:rsidRDefault="005A1EF7" w:rsidP="00E84C3C">
      <w:pPr>
        <w:rPr>
          <w:sz w:val="28"/>
          <w:szCs w:val="28"/>
        </w:rPr>
      </w:pPr>
    </w:p>
    <w:p w:rsidR="005A1EF7" w:rsidRDefault="005A1EF7" w:rsidP="00E84C3C">
      <w:pPr>
        <w:rPr>
          <w:sz w:val="28"/>
          <w:szCs w:val="28"/>
        </w:rPr>
      </w:pPr>
    </w:p>
    <w:p w:rsidR="005A1EF7" w:rsidRDefault="005A1EF7" w:rsidP="00E84C3C">
      <w:pPr>
        <w:rPr>
          <w:sz w:val="28"/>
          <w:szCs w:val="28"/>
        </w:rPr>
      </w:pPr>
    </w:p>
    <w:p w:rsidR="00E84C3C" w:rsidRPr="00E84C3C" w:rsidRDefault="00E84C3C" w:rsidP="00E84C3C">
      <w:pPr>
        <w:rPr>
          <w:sz w:val="28"/>
          <w:szCs w:val="28"/>
        </w:rPr>
      </w:pPr>
      <w:r w:rsidRPr="00E84C3C">
        <w:rPr>
          <w:sz w:val="28"/>
          <w:szCs w:val="28"/>
        </w:rPr>
        <w:t>Начальник Главного управления</w:t>
      </w:r>
    </w:p>
    <w:p w:rsidR="007F59D2" w:rsidRDefault="00E84C3C" w:rsidP="00E84C3C">
      <w:pPr>
        <w:rPr>
          <w:bCs/>
          <w:szCs w:val="28"/>
        </w:rPr>
      </w:pPr>
      <w:r w:rsidRPr="00E84C3C">
        <w:rPr>
          <w:sz w:val="28"/>
          <w:szCs w:val="28"/>
        </w:rPr>
        <w:t>генерал-майор в</w:t>
      </w:r>
      <w:r>
        <w:rPr>
          <w:sz w:val="28"/>
          <w:szCs w:val="28"/>
        </w:rPr>
        <w:t>нутренней службы</w:t>
      </w:r>
      <w:r w:rsidRPr="00E84C3C">
        <w:rPr>
          <w:sz w:val="28"/>
          <w:szCs w:val="28"/>
        </w:rPr>
        <w:t xml:space="preserve">                                </w:t>
      </w:r>
      <w:r>
        <w:rPr>
          <w:sz w:val="28"/>
          <w:szCs w:val="28"/>
        </w:rPr>
        <w:t xml:space="preserve">                      </w:t>
      </w:r>
      <w:r w:rsidRPr="00E84C3C">
        <w:rPr>
          <w:sz w:val="28"/>
          <w:szCs w:val="28"/>
        </w:rPr>
        <w:t>А.Р. Григорян</w:t>
      </w:r>
    </w:p>
    <w:p w:rsidR="00DF74FF" w:rsidRPr="00651D68" w:rsidRDefault="00A1760A" w:rsidP="007F59D2">
      <w:pPr>
        <w:ind w:left="-142"/>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4F" w:rsidRDefault="00BD104F" w:rsidP="00EA7F07">
      <w:r>
        <w:separator/>
      </w:r>
    </w:p>
  </w:endnote>
  <w:endnote w:type="continuationSeparator" w:id="0">
    <w:p w:rsidR="00BD104F" w:rsidRDefault="00BD104F"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4F" w:rsidRDefault="00BD104F" w:rsidP="00EA7F07">
      <w:r>
        <w:separator/>
      </w:r>
    </w:p>
  </w:footnote>
  <w:footnote w:type="continuationSeparator" w:id="0">
    <w:p w:rsidR="00BD104F" w:rsidRDefault="00BD104F"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C05DEA">
        <w:pPr>
          <w:pStyle w:val="af0"/>
          <w:jc w:val="center"/>
        </w:pPr>
        <w:r>
          <w:fldChar w:fldCharType="begin"/>
        </w:r>
        <w:r w:rsidR="00A27D95">
          <w:instrText xml:space="preserve"> PAGE   \* MERGEFORMAT </w:instrText>
        </w:r>
        <w:r>
          <w:fldChar w:fldCharType="separate"/>
        </w:r>
        <w:r w:rsidR="005A1EF7">
          <w:rPr>
            <w:noProof/>
          </w:rPr>
          <w:t>4</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5A4B"/>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980"/>
    <w:rsid w:val="00072C0E"/>
    <w:rsid w:val="00073AA0"/>
    <w:rsid w:val="00073C3D"/>
    <w:rsid w:val="00073FF8"/>
    <w:rsid w:val="0007471F"/>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559"/>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4575"/>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4A6"/>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98E"/>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69A"/>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63E"/>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03F"/>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4EB"/>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1EF7"/>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66C"/>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4BA9"/>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119"/>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04F"/>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5DEA"/>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199A"/>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57E"/>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77D66"/>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78B"/>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15"/>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98"/>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4C3C"/>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478"/>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5518-4C1A-45EA-8991-D0D4EF14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7673</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181</cp:revision>
  <cp:lastPrinted>2023-09-16T16:28:00Z</cp:lastPrinted>
  <dcterms:created xsi:type="dcterms:W3CDTF">2019-09-20T11:15:00Z</dcterms:created>
  <dcterms:modified xsi:type="dcterms:W3CDTF">2023-09-18T18:49:00Z</dcterms:modified>
</cp:coreProperties>
</file>